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ED4" w:rsidRDefault="00A31ED4" w:rsidP="00A31ED4">
      <w:pPr>
        <w:spacing w:line="480" w:lineRule="auto"/>
        <w:jc w:val="center"/>
        <w:rPr>
          <w:rFonts w:ascii="Times New Roman" w:hAnsi="Times New Roman" w:cs="Times New Roman"/>
          <w:sz w:val="24"/>
          <w:szCs w:val="24"/>
        </w:rPr>
      </w:pPr>
    </w:p>
    <w:p w:rsidR="00A31ED4" w:rsidRDefault="00A31ED4" w:rsidP="00A31ED4">
      <w:pPr>
        <w:spacing w:line="480" w:lineRule="auto"/>
        <w:jc w:val="center"/>
        <w:rPr>
          <w:rFonts w:ascii="Times New Roman" w:hAnsi="Times New Roman" w:cs="Times New Roman"/>
          <w:sz w:val="24"/>
          <w:szCs w:val="24"/>
        </w:rPr>
      </w:pPr>
    </w:p>
    <w:p w:rsidR="00A31ED4" w:rsidRDefault="00A31ED4" w:rsidP="00A31ED4">
      <w:pPr>
        <w:spacing w:line="480" w:lineRule="auto"/>
        <w:jc w:val="center"/>
        <w:rPr>
          <w:rFonts w:ascii="Times New Roman" w:hAnsi="Times New Roman" w:cs="Times New Roman"/>
          <w:sz w:val="24"/>
          <w:szCs w:val="24"/>
        </w:rPr>
      </w:pPr>
    </w:p>
    <w:p w:rsidR="00A31ED4" w:rsidRDefault="00A31ED4" w:rsidP="00A31ED4">
      <w:pPr>
        <w:spacing w:line="480" w:lineRule="auto"/>
        <w:jc w:val="center"/>
        <w:rPr>
          <w:rFonts w:ascii="Times New Roman" w:hAnsi="Times New Roman" w:cs="Times New Roman"/>
          <w:sz w:val="24"/>
          <w:szCs w:val="24"/>
        </w:rPr>
      </w:pPr>
    </w:p>
    <w:p w:rsidR="00A31ED4" w:rsidRDefault="00A31ED4" w:rsidP="00A31ED4">
      <w:pPr>
        <w:spacing w:line="480" w:lineRule="auto"/>
        <w:jc w:val="center"/>
        <w:rPr>
          <w:rFonts w:ascii="Times New Roman" w:hAnsi="Times New Roman" w:cs="Times New Roman"/>
          <w:sz w:val="24"/>
          <w:szCs w:val="24"/>
        </w:rPr>
      </w:pPr>
    </w:p>
    <w:p w:rsidR="00A31ED4" w:rsidRDefault="00A31ED4" w:rsidP="00A31ED4">
      <w:pPr>
        <w:spacing w:line="480" w:lineRule="auto"/>
        <w:jc w:val="center"/>
        <w:rPr>
          <w:rFonts w:ascii="Times New Roman" w:hAnsi="Times New Roman" w:cs="Times New Roman"/>
          <w:sz w:val="24"/>
          <w:szCs w:val="24"/>
        </w:rPr>
      </w:pPr>
    </w:p>
    <w:p w:rsidR="00A31ED4" w:rsidRDefault="00A31ED4" w:rsidP="00A31ED4">
      <w:pPr>
        <w:spacing w:line="480" w:lineRule="auto"/>
        <w:jc w:val="center"/>
        <w:rPr>
          <w:rFonts w:ascii="Times New Roman" w:hAnsi="Times New Roman" w:cs="Times New Roman"/>
          <w:sz w:val="24"/>
          <w:szCs w:val="24"/>
        </w:rPr>
      </w:pPr>
    </w:p>
    <w:p w:rsidR="0080412D" w:rsidRDefault="00AC0A08" w:rsidP="00A31ED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Environmental </w:t>
      </w:r>
      <w:r w:rsidR="00A31ED4">
        <w:rPr>
          <w:rFonts w:ascii="Times New Roman" w:hAnsi="Times New Roman" w:cs="Times New Roman"/>
          <w:sz w:val="24"/>
          <w:szCs w:val="24"/>
        </w:rPr>
        <w:t>Health</w:t>
      </w:r>
      <w:r>
        <w:rPr>
          <w:rFonts w:ascii="Times New Roman" w:hAnsi="Times New Roman" w:cs="Times New Roman"/>
          <w:sz w:val="24"/>
          <w:szCs w:val="24"/>
        </w:rPr>
        <w:t xml:space="preserve"> and </w:t>
      </w:r>
      <w:r w:rsidR="00A31ED4">
        <w:rPr>
          <w:rFonts w:ascii="Times New Roman" w:hAnsi="Times New Roman" w:cs="Times New Roman"/>
          <w:sz w:val="24"/>
          <w:szCs w:val="24"/>
        </w:rPr>
        <w:t>Safety Compliance Analysis</w:t>
      </w:r>
    </w:p>
    <w:p w:rsidR="00A31ED4" w:rsidRDefault="00AC0A08" w:rsidP="00A31E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31ED4" w:rsidRDefault="00AC0A08" w:rsidP="00A31E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31ED4" w:rsidRDefault="00A31ED4" w:rsidP="00A31ED4">
      <w:pPr>
        <w:spacing w:line="480" w:lineRule="auto"/>
        <w:rPr>
          <w:rFonts w:ascii="Times New Roman" w:hAnsi="Times New Roman" w:cs="Times New Roman"/>
          <w:sz w:val="24"/>
          <w:szCs w:val="24"/>
        </w:rPr>
      </w:pPr>
    </w:p>
    <w:p w:rsidR="00A31ED4" w:rsidRDefault="00A31ED4" w:rsidP="00A31ED4">
      <w:pPr>
        <w:spacing w:line="480" w:lineRule="auto"/>
        <w:rPr>
          <w:rFonts w:ascii="Times New Roman" w:hAnsi="Times New Roman" w:cs="Times New Roman"/>
          <w:sz w:val="24"/>
          <w:szCs w:val="24"/>
        </w:rPr>
      </w:pPr>
    </w:p>
    <w:p w:rsidR="00A31ED4" w:rsidRDefault="00A31ED4" w:rsidP="00A31ED4">
      <w:pPr>
        <w:spacing w:line="480" w:lineRule="auto"/>
        <w:rPr>
          <w:rFonts w:ascii="Times New Roman" w:hAnsi="Times New Roman" w:cs="Times New Roman"/>
          <w:sz w:val="24"/>
          <w:szCs w:val="24"/>
        </w:rPr>
      </w:pPr>
    </w:p>
    <w:p w:rsidR="00A31ED4" w:rsidRDefault="00A31ED4" w:rsidP="00A31ED4">
      <w:pPr>
        <w:spacing w:line="480" w:lineRule="auto"/>
        <w:rPr>
          <w:rFonts w:ascii="Times New Roman" w:hAnsi="Times New Roman" w:cs="Times New Roman"/>
          <w:sz w:val="24"/>
          <w:szCs w:val="24"/>
        </w:rPr>
      </w:pPr>
    </w:p>
    <w:p w:rsidR="00A31ED4" w:rsidRDefault="00A31ED4" w:rsidP="00A31ED4">
      <w:pPr>
        <w:spacing w:line="480" w:lineRule="auto"/>
        <w:rPr>
          <w:rFonts w:ascii="Times New Roman" w:hAnsi="Times New Roman" w:cs="Times New Roman"/>
          <w:sz w:val="24"/>
          <w:szCs w:val="24"/>
        </w:rPr>
      </w:pPr>
    </w:p>
    <w:p w:rsidR="00A31ED4" w:rsidRDefault="00A31ED4" w:rsidP="00A31ED4">
      <w:pPr>
        <w:spacing w:line="480" w:lineRule="auto"/>
        <w:rPr>
          <w:rFonts w:ascii="Times New Roman" w:hAnsi="Times New Roman" w:cs="Times New Roman"/>
          <w:sz w:val="24"/>
          <w:szCs w:val="24"/>
        </w:rPr>
      </w:pPr>
    </w:p>
    <w:p w:rsidR="00A31ED4" w:rsidRDefault="00A31ED4" w:rsidP="00A31ED4">
      <w:pPr>
        <w:spacing w:line="480" w:lineRule="auto"/>
        <w:rPr>
          <w:rFonts w:ascii="Times New Roman" w:hAnsi="Times New Roman" w:cs="Times New Roman"/>
          <w:sz w:val="24"/>
          <w:szCs w:val="24"/>
        </w:rPr>
      </w:pPr>
    </w:p>
    <w:p w:rsidR="00A31ED4" w:rsidRDefault="00AC0A08" w:rsidP="00A31E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Environmental Health and Safety Compliance Analysis</w:t>
      </w:r>
    </w:p>
    <w:p w:rsidR="009B27F7" w:rsidRDefault="00AC0A08" w:rsidP="00BE2F2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36D16">
        <w:rPr>
          <w:rFonts w:ascii="Times New Roman" w:hAnsi="Times New Roman" w:cs="Times New Roman"/>
          <w:sz w:val="24"/>
          <w:szCs w:val="24"/>
        </w:rPr>
        <w:tab/>
      </w:r>
      <w:r>
        <w:rPr>
          <w:rFonts w:ascii="Times New Roman" w:hAnsi="Times New Roman" w:cs="Times New Roman"/>
          <w:sz w:val="24"/>
          <w:szCs w:val="24"/>
        </w:rPr>
        <w:t>One of the primary roles of a Safety Compliance Officer is to ensure that the company maintains high standards of environmental sustainability and protection. The company in question specializes with plastics that have multiple applications, and the New N</w:t>
      </w:r>
      <w:r>
        <w:rPr>
          <w:rFonts w:ascii="Times New Roman" w:hAnsi="Times New Roman" w:cs="Times New Roman"/>
          <w:sz w:val="24"/>
          <w:szCs w:val="24"/>
        </w:rPr>
        <w:t>ortheastern location presents new financial prospects. Plastic manufacturing emits greenhouse gases that are dangerous to the environment. Therefore, the company must comprehensively analyze the legislative environment to ensure compliance. In this regard,</w:t>
      </w:r>
      <w:r>
        <w:rPr>
          <w:rFonts w:ascii="Times New Roman" w:hAnsi="Times New Roman" w:cs="Times New Roman"/>
          <w:sz w:val="24"/>
          <w:szCs w:val="24"/>
        </w:rPr>
        <w:t xml:space="preserve"> the strategic plan will delineate how the company intends to comply and give rationale on the same. The paper provides a conceptual framework of the environmental health and safety compliance of the major federal, state, and local laws that are likely to </w:t>
      </w:r>
      <w:r>
        <w:rPr>
          <w:rFonts w:ascii="Times New Roman" w:hAnsi="Times New Roman" w:cs="Times New Roman"/>
          <w:sz w:val="24"/>
          <w:szCs w:val="24"/>
        </w:rPr>
        <w:t>affect the company moving forward to the new location.</w:t>
      </w:r>
    </w:p>
    <w:p w:rsidR="00BE2F24" w:rsidRDefault="00AC0A08" w:rsidP="00BE2F2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36D16">
        <w:rPr>
          <w:rFonts w:ascii="Times New Roman" w:hAnsi="Times New Roman" w:cs="Times New Roman"/>
          <w:sz w:val="24"/>
          <w:szCs w:val="24"/>
        </w:rPr>
        <w:tab/>
      </w:r>
      <w:r>
        <w:rPr>
          <w:rFonts w:ascii="Times New Roman" w:hAnsi="Times New Roman" w:cs="Times New Roman"/>
          <w:sz w:val="24"/>
          <w:szCs w:val="24"/>
        </w:rPr>
        <w:t>Plastic has always remained a contentious issue in Ohio; however, the House passed a bill that blocked city councils from imposing fees on the product. The ban on the local government is a positive in</w:t>
      </w:r>
      <w:r>
        <w:rPr>
          <w:rFonts w:ascii="Times New Roman" w:hAnsi="Times New Roman" w:cs="Times New Roman"/>
          <w:sz w:val="24"/>
          <w:szCs w:val="24"/>
        </w:rPr>
        <w:t>dicator that the company is likely to thrive in the new location</w:t>
      </w:r>
      <w:r w:rsidR="008439BA">
        <w:rPr>
          <w:rFonts w:ascii="Times New Roman" w:hAnsi="Times New Roman" w:cs="Times New Roman"/>
          <w:sz w:val="24"/>
          <w:szCs w:val="24"/>
        </w:rPr>
        <w:t>. The law has prevented the municipal localities from imposing fees on Styrofoam cups, glass bottles, carry-out-food containers, plastic bags, and aluminum cans</w:t>
      </w:r>
      <w:r w:rsidR="00FD4835">
        <w:rPr>
          <w:rFonts w:ascii="Times New Roman" w:hAnsi="Times New Roman" w:cs="Times New Roman"/>
          <w:sz w:val="24"/>
          <w:szCs w:val="24"/>
        </w:rPr>
        <w:t xml:space="preserve"> (Bischoff, 2018)</w:t>
      </w:r>
      <w:r w:rsidR="008439BA">
        <w:rPr>
          <w:rFonts w:ascii="Times New Roman" w:hAnsi="Times New Roman" w:cs="Times New Roman"/>
          <w:sz w:val="24"/>
          <w:szCs w:val="24"/>
        </w:rPr>
        <w:t xml:space="preserve">. From an environmental standpoint, the company, even though House Bill 625 is </w:t>
      </w:r>
      <w:r w:rsidR="00FD4835">
        <w:rPr>
          <w:rFonts w:ascii="Times New Roman" w:hAnsi="Times New Roman" w:cs="Times New Roman"/>
          <w:sz w:val="24"/>
          <w:szCs w:val="24"/>
        </w:rPr>
        <w:t xml:space="preserve">a benefit to the company's </w:t>
      </w:r>
      <w:proofErr w:type="gramStart"/>
      <w:r w:rsidR="00FD4835">
        <w:rPr>
          <w:rFonts w:ascii="Times New Roman" w:hAnsi="Times New Roman" w:cs="Times New Roman"/>
          <w:sz w:val="24"/>
          <w:szCs w:val="24"/>
        </w:rPr>
        <w:t>growth</w:t>
      </w:r>
      <w:proofErr w:type="gramEnd"/>
      <w:r w:rsidR="00FD4835">
        <w:rPr>
          <w:rFonts w:ascii="Times New Roman" w:hAnsi="Times New Roman" w:cs="Times New Roman"/>
          <w:sz w:val="24"/>
          <w:szCs w:val="24"/>
        </w:rPr>
        <w:t xml:space="preserve"> prospects, the company ought to maintain adhere to regulatory compliance on pollution. The state has numerous laws on environmental contaminants and there are glaring environmental risks from the manufacture of plastics. Plastics emit acetone, cyanide, compounds, methyl hydrazine,</w:t>
      </w:r>
      <w:r w:rsidR="00CB26CD">
        <w:rPr>
          <w:rFonts w:ascii="Times New Roman" w:hAnsi="Times New Roman" w:cs="Times New Roman"/>
          <w:sz w:val="24"/>
          <w:szCs w:val="24"/>
        </w:rPr>
        <w:t xml:space="preserve"> ammonia, hexane, chlorine gas, as well as aniline and there are laws on the compounds above.  </w:t>
      </w:r>
    </w:p>
    <w:p w:rsidR="00CB26CD" w:rsidRDefault="00CB26CD" w:rsidP="00BE2F24">
      <w:pPr>
        <w:spacing w:line="480" w:lineRule="auto"/>
        <w:rPr>
          <w:rFonts w:ascii="Times New Roman" w:hAnsi="Times New Roman" w:cs="Times New Roman"/>
          <w:sz w:val="24"/>
          <w:szCs w:val="24"/>
        </w:rPr>
      </w:pPr>
    </w:p>
    <w:p w:rsidR="00A354DE" w:rsidRDefault="00AC0A08" w:rsidP="00BE2F2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Firstly, the Superfund Amendment an</w:t>
      </w:r>
      <w:r>
        <w:rPr>
          <w:rFonts w:ascii="Times New Roman" w:hAnsi="Times New Roman" w:cs="Times New Roman"/>
          <w:sz w:val="24"/>
          <w:szCs w:val="24"/>
        </w:rPr>
        <w:t xml:space="preserve">d Reauthorization Act (SARA) Title III has regulations on the storage, production, use, and hazardous compounds to the public. The Ohio General Assembly of 1988 passed a Senate Bill 367 known as the Ohio Environmental Protection Agency </w:t>
      </w:r>
      <w:r w:rsidR="0082562F">
        <w:rPr>
          <w:rFonts w:ascii="Times New Roman" w:hAnsi="Times New Roman" w:cs="Times New Roman"/>
          <w:sz w:val="24"/>
          <w:szCs w:val="24"/>
        </w:rPr>
        <w:t xml:space="preserve">to protect the environment (Ohio Environmental Protection Agency, n. d). </w:t>
      </w:r>
      <w:r w:rsidR="00D214B9">
        <w:rPr>
          <w:rFonts w:ascii="Times New Roman" w:hAnsi="Times New Roman" w:cs="Times New Roman"/>
          <w:sz w:val="24"/>
          <w:szCs w:val="24"/>
        </w:rPr>
        <w:t xml:space="preserve">SARA III has restrictions on metals such as selenium, beryllium, chromium, zinc, nickel, lead, and copper. In this regard, the quantities released into the environment should not be unnoticeable and have diameters less than 0.004 inches (the United States Environmental Protection Agency, 2015). </w:t>
      </w:r>
      <w:r>
        <w:rPr>
          <w:rFonts w:ascii="Times New Roman" w:hAnsi="Times New Roman" w:cs="Times New Roman"/>
          <w:sz w:val="24"/>
          <w:szCs w:val="24"/>
        </w:rPr>
        <w:t>The Bill will affect the company since the company emits chemicals that are hazardous to the environment and it will have to ensure that it does not surpass the em</w:t>
      </w:r>
      <w:r>
        <w:rPr>
          <w:rFonts w:ascii="Times New Roman" w:hAnsi="Times New Roman" w:cs="Times New Roman"/>
          <w:sz w:val="24"/>
          <w:szCs w:val="24"/>
        </w:rPr>
        <w:t>ission threshold. The B</w:t>
      </w:r>
      <w:r w:rsidR="0082562F">
        <w:rPr>
          <w:rFonts w:ascii="Times New Roman" w:hAnsi="Times New Roman" w:cs="Times New Roman"/>
          <w:sz w:val="24"/>
          <w:szCs w:val="24"/>
        </w:rPr>
        <w:t>ill is a step towards a clean environment that is free from colossal pollution from industries.</w:t>
      </w:r>
      <w:r>
        <w:rPr>
          <w:rFonts w:ascii="Times New Roman" w:hAnsi="Times New Roman" w:cs="Times New Roman"/>
          <w:sz w:val="24"/>
          <w:szCs w:val="24"/>
        </w:rPr>
        <w:t xml:space="preserve"> The company intends to comply with the Bill by recycling its waste products and using energy-efficient technology that reduces emission t</w:t>
      </w:r>
      <w:r>
        <w:rPr>
          <w:rFonts w:ascii="Times New Roman" w:hAnsi="Times New Roman" w:cs="Times New Roman"/>
          <w:sz w:val="24"/>
          <w:szCs w:val="24"/>
        </w:rPr>
        <w:t>o the environment.</w:t>
      </w:r>
    </w:p>
    <w:p w:rsidR="00E060EA" w:rsidRDefault="00AC0A08" w:rsidP="00BE2F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Therefore, the Clean Air Act aims at maintaining human health </w:t>
      </w:r>
      <w:r w:rsidR="00E37502">
        <w:rPr>
          <w:rFonts w:ascii="Times New Roman" w:hAnsi="Times New Roman" w:cs="Times New Roman"/>
          <w:sz w:val="24"/>
          <w:szCs w:val="24"/>
        </w:rPr>
        <w:t>by ensuring that quality air within the state. In this regard, manufacturing companies are required to maintain an absolute concentration of various pollutants within the atmosphere</w:t>
      </w:r>
      <w:r w:rsidR="007319D4">
        <w:rPr>
          <w:rFonts w:ascii="Times New Roman" w:hAnsi="Times New Roman" w:cs="Times New Roman"/>
          <w:sz w:val="24"/>
          <w:szCs w:val="24"/>
        </w:rPr>
        <w:t xml:space="preserve"> (Mellon, n. d)</w:t>
      </w:r>
      <w:r w:rsidR="00E37502">
        <w:rPr>
          <w:rFonts w:ascii="Times New Roman" w:hAnsi="Times New Roman" w:cs="Times New Roman"/>
          <w:sz w:val="24"/>
          <w:szCs w:val="24"/>
        </w:rPr>
        <w:t xml:space="preserve">. The primary objective is to prevent health risks associated with the contaminants and maintain ambient atmospheric conditions. The legislation regulates the number of pollutants into the atmosphere. </w:t>
      </w:r>
      <w:r w:rsidR="007319D4">
        <w:rPr>
          <w:rFonts w:ascii="Times New Roman" w:hAnsi="Times New Roman" w:cs="Times New Roman"/>
          <w:sz w:val="24"/>
          <w:szCs w:val="24"/>
        </w:rPr>
        <w:t xml:space="preserve">The Act aims at setting technology-based effluent standards that reduce emissions into the emission during production processes. </w:t>
      </w:r>
      <w:r w:rsidR="00C3719F">
        <w:rPr>
          <w:rFonts w:ascii="Times New Roman" w:hAnsi="Times New Roman" w:cs="Times New Roman"/>
          <w:sz w:val="24"/>
          <w:szCs w:val="24"/>
        </w:rPr>
        <w:t xml:space="preserve">Therefore, companies are urged to control their point sources to ensure that the transport, storage, generation, management, and disposal of waste </w:t>
      </w:r>
      <w:r w:rsidR="003A7D44">
        <w:rPr>
          <w:rFonts w:ascii="Times New Roman" w:hAnsi="Times New Roman" w:cs="Times New Roman"/>
          <w:sz w:val="24"/>
          <w:szCs w:val="24"/>
        </w:rPr>
        <w:t>are</w:t>
      </w:r>
      <w:r w:rsidR="00C3719F">
        <w:rPr>
          <w:rFonts w:ascii="Times New Roman" w:hAnsi="Times New Roman" w:cs="Times New Roman"/>
          <w:sz w:val="24"/>
          <w:szCs w:val="24"/>
        </w:rPr>
        <w:t xml:space="preserve"> done appropriately. </w:t>
      </w:r>
      <w:r w:rsidR="003A7D44">
        <w:rPr>
          <w:rFonts w:ascii="Times New Roman" w:hAnsi="Times New Roman" w:cs="Times New Roman"/>
          <w:sz w:val="24"/>
          <w:szCs w:val="24"/>
        </w:rPr>
        <w:t>CAA section 112 ® has restrictions on flammable substances that significantly affect human safety. The section enumerate</w:t>
      </w:r>
      <w:r w:rsidR="00E43474">
        <w:rPr>
          <w:rFonts w:ascii="Times New Roman" w:hAnsi="Times New Roman" w:cs="Times New Roman"/>
          <w:sz w:val="24"/>
          <w:szCs w:val="24"/>
        </w:rPr>
        <w:t>s</w:t>
      </w:r>
      <w:r w:rsidR="003A7D44">
        <w:rPr>
          <w:rFonts w:ascii="Times New Roman" w:hAnsi="Times New Roman" w:cs="Times New Roman"/>
          <w:sz w:val="24"/>
          <w:szCs w:val="24"/>
        </w:rPr>
        <w:t xml:space="preserve"> on the need for accident prevention strateg</w:t>
      </w:r>
      <w:r w:rsidR="00E43474">
        <w:rPr>
          <w:rFonts w:ascii="Times New Roman" w:hAnsi="Times New Roman" w:cs="Times New Roman"/>
          <w:sz w:val="24"/>
          <w:szCs w:val="24"/>
        </w:rPr>
        <w:t>ies from emergencies caused by hydrochloric acid, hydrogen, and nitric acid (the United States</w:t>
      </w:r>
      <w:r w:rsidR="00536D16">
        <w:rPr>
          <w:rFonts w:ascii="Times New Roman" w:hAnsi="Times New Roman" w:cs="Times New Roman"/>
          <w:sz w:val="24"/>
          <w:szCs w:val="24"/>
        </w:rPr>
        <w:t xml:space="preserve"> </w:t>
      </w:r>
      <w:r w:rsidR="00E43474">
        <w:rPr>
          <w:rFonts w:ascii="Times New Roman" w:hAnsi="Times New Roman" w:cs="Times New Roman"/>
          <w:sz w:val="24"/>
          <w:szCs w:val="24"/>
        </w:rPr>
        <w:lastRenderedPageBreak/>
        <w:t xml:space="preserve">Environmental Protection Agency, 2015). </w:t>
      </w:r>
      <w:r w:rsidR="00C3719F">
        <w:rPr>
          <w:rFonts w:ascii="Times New Roman" w:hAnsi="Times New Roman" w:cs="Times New Roman"/>
          <w:sz w:val="24"/>
          <w:szCs w:val="24"/>
        </w:rPr>
        <w:t xml:space="preserve">The company will ensure adherence to the Act by adopting a tracking framework that monitors the waste from the time it is generated to the time it is disposed. </w:t>
      </w:r>
      <w:r w:rsidR="00E43474">
        <w:rPr>
          <w:rFonts w:ascii="Times New Roman" w:hAnsi="Times New Roman" w:cs="Times New Roman"/>
          <w:sz w:val="24"/>
          <w:szCs w:val="24"/>
        </w:rPr>
        <w:t xml:space="preserve"> SARA III imposes fines on violations that amount to up to $10,000 to $82500 that are paid daily. Violation of the same can also lead to the closure of the facilities (MSDS Online, 2007). </w:t>
      </w:r>
      <w:r w:rsidR="00C3719F">
        <w:rPr>
          <w:rFonts w:ascii="Times New Roman" w:hAnsi="Times New Roman" w:cs="Times New Roman"/>
          <w:sz w:val="24"/>
          <w:szCs w:val="24"/>
        </w:rPr>
        <w:t xml:space="preserve">Operational facilities will be automated to store, treat, and dispose of hazardous waste to mitigate harmful effects on the environment. The treatment process will also be efficient enough to </w:t>
      </w:r>
      <w:r w:rsidR="004B278E">
        <w:rPr>
          <w:rFonts w:ascii="Times New Roman" w:hAnsi="Times New Roman" w:cs="Times New Roman"/>
          <w:sz w:val="24"/>
          <w:szCs w:val="24"/>
        </w:rPr>
        <w:t>ensure that the waste meets the safety standards.</w:t>
      </w:r>
    </w:p>
    <w:p w:rsidR="00B6293D" w:rsidRDefault="00AC0A08" w:rsidP="00B62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the state has enacted the Clean Water Act to prevent pollution from the assembly</w:t>
      </w:r>
      <w:r>
        <w:rPr>
          <w:rFonts w:ascii="Times New Roman" w:hAnsi="Times New Roman" w:cs="Times New Roman"/>
          <w:sz w:val="24"/>
          <w:szCs w:val="24"/>
        </w:rPr>
        <w:t xml:space="preserve">, steel, petroleum, pulp </w:t>
      </w:r>
      <w:r w:rsidR="00A354DE">
        <w:rPr>
          <w:rFonts w:ascii="Times New Roman" w:hAnsi="Times New Roman" w:cs="Times New Roman"/>
          <w:sz w:val="24"/>
          <w:szCs w:val="24"/>
        </w:rPr>
        <w:t>manufacturing, metal smelting, and refining industries</w:t>
      </w:r>
      <w:r w:rsidR="004B278E">
        <w:rPr>
          <w:rFonts w:ascii="Times New Roman" w:hAnsi="Times New Roman" w:cs="Times New Roman"/>
          <w:sz w:val="24"/>
          <w:szCs w:val="24"/>
        </w:rPr>
        <w:t xml:space="preserve"> (Mellon, n. d)</w:t>
      </w:r>
      <w:r w:rsidR="00A354DE">
        <w:rPr>
          <w:rFonts w:ascii="Times New Roman" w:hAnsi="Times New Roman" w:cs="Times New Roman"/>
          <w:sz w:val="24"/>
          <w:szCs w:val="24"/>
        </w:rPr>
        <w:t>. The operations of the company fall within the category, and the waste management strategies need to be employed to prevent depositing of depositing wastes into water bodies.</w:t>
      </w:r>
      <w:r>
        <w:rPr>
          <w:rFonts w:ascii="Times New Roman" w:hAnsi="Times New Roman" w:cs="Times New Roman"/>
          <w:sz w:val="24"/>
          <w:szCs w:val="24"/>
        </w:rPr>
        <w:t xml:space="preserve"> The secondary objective of the Act is to restore and maintain water bodies that can be used for recreational and economic purposes. Therefore, optimal water conditions should be sustained by maintaining the required levels of pH, oxygen deman</w:t>
      </w:r>
      <w:r>
        <w:rPr>
          <w:rFonts w:ascii="Times New Roman" w:hAnsi="Times New Roman" w:cs="Times New Roman"/>
          <w:sz w:val="24"/>
          <w:szCs w:val="24"/>
        </w:rPr>
        <w:t xml:space="preserve">d, salts, and nutrients. </w:t>
      </w:r>
      <w:r w:rsidR="00E43474">
        <w:rPr>
          <w:rFonts w:ascii="Times New Roman" w:hAnsi="Times New Roman" w:cs="Times New Roman"/>
          <w:sz w:val="24"/>
          <w:szCs w:val="24"/>
        </w:rPr>
        <w:t xml:space="preserve">SARA III </w:t>
      </w:r>
      <w:r w:rsidR="00EA3AE5">
        <w:rPr>
          <w:rFonts w:ascii="Times New Roman" w:hAnsi="Times New Roman" w:cs="Times New Roman"/>
          <w:sz w:val="24"/>
          <w:szCs w:val="24"/>
        </w:rPr>
        <w:t>requires that companies should keep</w:t>
      </w:r>
      <w:r w:rsidR="00E43474">
        <w:rPr>
          <w:rFonts w:ascii="Times New Roman" w:hAnsi="Times New Roman" w:cs="Times New Roman"/>
          <w:sz w:val="24"/>
          <w:szCs w:val="24"/>
        </w:rPr>
        <w:t xml:space="preserve"> listings of </w:t>
      </w:r>
      <w:r w:rsidR="00EA3AE5">
        <w:rPr>
          <w:rFonts w:ascii="Times New Roman" w:hAnsi="Times New Roman" w:cs="Times New Roman"/>
          <w:sz w:val="24"/>
          <w:szCs w:val="24"/>
        </w:rPr>
        <w:t xml:space="preserve">the chemicals they use in their production processes.  The waste that is released into water should be tested for ignitability, toxicity, reactivity, and corrosion. Specific hazardous compounds such as dioxin compounds should be controlled due to high corrosion levels. Compounds such as ammonia are soluble in water and major pollutants since they contribute to algae bloom. Ammonia in wastewater can be measured to determine its reporting quantity, and waste management calculation can be done to prevent it from accumulating to toxic levels. The </w:t>
      </w:r>
      <w:r>
        <w:rPr>
          <w:rFonts w:ascii="Times New Roman" w:hAnsi="Times New Roman" w:cs="Times New Roman"/>
          <w:sz w:val="24"/>
          <w:szCs w:val="24"/>
        </w:rPr>
        <w:t>Act stipulates that companies should use standardized technology that is used to treat wastewater before disposing of it in water bodies</w:t>
      </w:r>
      <w:r w:rsidR="00E060EA">
        <w:rPr>
          <w:rFonts w:ascii="Times New Roman" w:hAnsi="Times New Roman" w:cs="Times New Roman"/>
          <w:sz w:val="24"/>
          <w:szCs w:val="24"/>
        </w:rPr>
        <w:t xml:space="preserve">. The company </w:t>
      </w:r>
      <w:r w:rsidR="00E060EA">
        <w:rPr>
          <w:rFonts w:ascii="Times New Roman" w:hAnsi="Times New Roman" w:cs="Times New Roman"/>
          <w:sz w:val="24"/>
          <w:szCs w:val="24"/>
        </w:rPr>
        <w:lastRenderedPageBreak/>
        <w:t>is significantly affected by the Act, and it intends to comply with it by using the standardized technology while treating its wastewaters to prevent water pollution.</w:t>
      </w:r>
    </w:p>
    <w:p w:rsidR="00E060EA" w:rsidRDefault="00AC0A08" w:rsidP="00B62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line, the Clean Water Act, Safe Drinking Water Act was enacted to promote</w:t>
      </w:r>
      <w:r>
        <w:rPr>
          <w:rFonts w:ascii="Times New Roman" w:hAnsi="Times New Roman" w:cs="Times New Roman"/>
          <w:sz w:val="24"/>
          <w:szCs w:val="24"/>
        </w:rPr>
        <w:t xml:space="preserve"> and uphold the safety of public health</w:t>
      </w:r>
      <w:r w:rsidR="004B278E">
        <w:rPr>
          <w:rFonts w:ascii="Times New Roman" w:hAnsi="Times New Roman" w:cs="Times New Roman"/>
          <w:sz w:val="24"/>
          <w:szCs w:val="24"/>
        </w:rPr>
        <w:t xml:space="preserve"> (Mellon, n. d)</w:t>
      </w:r>
      <w:r>
        <w:rPr>
          <w:rFonts w:ascii="Times New Roman" w:hAnsi="Times New Roman" w:cs="Times New Roman"/>
          <w:sz w:val="24"/>
          <w:szCs w:val="24"/>
        </w:rPr>
        <w:t>. The water used for human consumption should be palatable. The quality of underground water should be maintained to prevent poisoning, and water suppliers should meet the required chemical, microbiolog</w:t>
      </w:r>
      <w:r>
        <w:rPr>
          <w:rFonts w:ascii="Times New Roman" w:hAnsi="Times New Roman" w:cs="Times New Roman"/>
          <w:sz w:val="24"/>
          <w:szCs w:val="24"/>
        </w:rPr>
        <w:t xml:space="preserve">ical, physical, and radiological requirements as well as maximum contaminant levels. </w:t>
      </w:r>
      <w:r w:rsidR="00342F73">
        <w:rPr>
          <w:rFonts w:ascii="Times New Roman" w:hAnsi="Times New Roman" w:cs="Times New Roman"/>
          <w:sz w:val="24"/>
          <w:szCs w:val="24"/>
        </w:rPr>
        <w:t xml:space="preserve"> The Emergency Planning and Community Right-to-Know Act (EPRCA) stipulate that extremely toxic substances should be managed properly and emergency planning strategies should be put in place on the same. Companies should also meet reporting requirements and give detailed descriptions of their emission levels.  SARA III also </w:t>
      </w:r>
      <w:bookmarkStart w:id="0" w:name="_GoBack"/>
      <w:bookmarkEnd w:id="0"/>
      <w:r w:rsidR="00536D16">
        <w:rPr>
          <w:rFonts w:ascii="Times New Roman" w:hAnsi="Times New Roman" w:cs="Times New Roman"/>
          <w:sz w:val="24"/>
          <w:szCs w:val="24"/>
        </w:rPr>
        <w:t>has</w:t>
      </w:r>
      <w:r w:rsidR="00342F73">
        <w:rPr>
          <w:rFonts w:ascii="Times New Roman" w:hAnsi="Times New Roman" w:cs="Times New Roman"/>
          <w:sz w:val="24"/>
          <w:szCs w:val="24"/>
        </w:rPr>
        <w:t xml:space="preserve"> restrictions t</w:t>
      </w:r>
      <w:r w:rsidR="00D214B9">
        <w:rPr>
          <w:rFonts w:ascii="Times New Roman" w:hAnsi="Times New Roman" w:cs="Times New Roman"/>
          <w:sz w:val="24"/>
          <w:szCs w:val="24"/>
        </w:rPr>
        <w:t xml:space="preserve">hat ensure that the quantities of toxic substances emitted into the atmosphere are not more significant than the reportable quantity. </w:t>
      </w:r>
      <w:r>
        <w:rPr>
          <w:rFonts w:ascii="Times New Roman" w:hAnsi="Times New Roman" w:cs="Times New Roman"/>
          <w:sz w:val="24"/>
          <w:szCs w:val="24"/>
        </w:rPr>
        <w:t xml:space="preserve">The Act is not likely to affect the company since the company is not involved in water manufacturing. However, the company will ensure that water that is used within the company meets the safety standards </w:t>
      </w:r>
      <w:r>
        <w:rPr>
          <w:rFonts w:ascii="Times New Roman" w:hAnsi="Times New Roman" w:cs="Times New Roman"/>
          <w:sz w:val="24"/>
          <w:szCs w:val="24"/>
        </w:rPr>
        <w:t>to prevent contamination.</w:t>
      </w:r>
    </w:p>
    <w:p w:rsidR="00B6293D" w:rsidRDefault="00AC0A08" w:rsidP="00B6293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w:t>
      </w:r>
      <w:r w:rsidR="00B5001C">
        <w:rPr>
          <w:rFonts w:ascii="Times New Roman" w:hAnsi="Times New Roman" w:cs="Times New Roman"/>
          <w:sz w:val="24"/>
          <w:szCs w:val="24"/>
        </w:rPr>
        <w:t>the Endangered Species Act of 1973 aims at protecting endangered species within Ohio’s ecosystem. Protection of natural habitats for these species is vital for their survival of the species</w:t>
      </w:r>
      <w:r>
        <w:rPr>
          <w:rFonts w:ascii="Times New Roman" w:hAnsi="Times New Roman" w:cs="Times New Roman"/>
          <w:sz w:val="24"/>
          <w:szCs w:val="24"/>
        </w:rPr>
        <w:t xml:space="preserve"> (Ballotpedia.org n. d)</w:t>
      </w:r>
      <w:r w:rsidR="00B5001C">
        <w:rPr>
          <w:rFonts w:ascii="Times New Roman" w:hAnsi="Times New Roman" w:cs="Times New Roman"/>
          <w:sz w:val="24"/>
          <w:szCs w:val="24"/>
        </w:rPr>
        <w:t xml:space="preserve">. Empirical evidence from the US Fish and Wildlife Science shows that some plants and animals are vulnerable to extinction due to human activities that point towards industrialization. The federal government has provided budgetary allocations for conserving endangered as well as threatened species. In this regard, the federal has imposed the restriction that interference with their natural environment. The company will comply with the Act by finding waste management solutions that prevent the disposal of waste in natural habitats </w:t>
      </w:r>
      <w:r w:rsidR="00B5001C">
        <w:rPr>
          <w:rFonts w:ascii="Times New Roman" w:hAnsi="Times New Roman" w:cs="Times New Roman"/>
          <w:sz w:val="24"/>
          <w:szCs w:val="24"/>
        </w:rPr>
        <w:lastRenderedPageBreak/>
        <w:t xml:space="preserve">such as water bodies. For examples, </w:t>
      </w:r>
      <w:r>
        <w:rPr>
          <w:rFonts w:ascii="Times New Roman" w:hAnsi="Times New Roman" w:cs="Times New Roman"/>
          <w:sz w:val="24"/>
          <w:szCs w:val="24"/>
        </w:rPr>
        <w:t>monkshoods are endangered in Northern Ohio, and the company should strive as much as possible to maintain the safety of the species.</w:t>
      </w:r>
    </w:p>
    <w:p w:rsidR="004B278E" w:rsidRDefault="00AC0A08" w:rsidP="00B6293D">
      <w:pPr>
        <w:spacing w:line="480" w:lineRule="auto"/>
        <w:rPr>
          <w:rFonts w:ascii="Times New Roman" w:hAnsi="Times New Roman" w:cs="Times New Roman"/>
          <w:sz w:val="24"/>
          <w:szCs w:val="24"/>
        </w:rPr>
      </w:pPr>
      <w:r>
        <w:rPr>
          <w:rFonts w:ascii="Times New Roman" w:hAnsi="Times New Roman" w:cs="Times New Roman"/>
          <w:sz w:val="24"/>
          <w:szCs w:val="24"/>
        </w:rPr>
        <w:tab/>
        <w:t>Additionally, the comprehensive environmental response, and co</w:t>
      </w:r>
      <w:r>
        <w:rPr>
          <w:rFonts w:ascii="Times New Roman" w:hAnsi="Times New Roman" w:cs="Times New Roman"/>
          <w:sz w:val="24"/>
          <w:szCs w:val="24"/>
        </w:rPr>
        <w:t>mpensation, and liability Act stipulates that companies should clean up abandoned wastes by using standardized waste management practices. SARA established a fund that helps factories to clean up their wastes since they pose significant environmental threa</w:t>
      </w:r>
      <w:r>
        <w:rPr>
          <w:rFonts w:ascii="Times New Roman" w:hAnsi="Times New Roman" w:cs="Times New Roman"/>
          <w:sz w:val="24"/>
          <w:szCs w:val="24"/>
        </w:rPr>
        <w:t>ts that cannot be disregarded altogether. Waste sites should be clean enough or else companies will be subject to a liability framework. SARA III necessitates that the society needs to know about the clean-up</w:t>
      </w:r>
      <w:r w:rsidR="002C67E3">
        <w:rPr>
          <w:rFonts w:ascii="Times New Roman" w:hAnsi="Times New Roman" w:cs="Times New Roman"/>
          <w:sz w:val="24"/>
          <w:szCs w:val="24"/>
        </w:rPr>
        <w:t xml:space="preserve"> activities to put companies on </w:t>
      </w:r>
      <w:r>
        <w:rPr>
          <w:rFonts w:ascii="Times New Roman" w:hAnsi="Times New Roman" w:cs="Times New Roman"/>
          <w:sz w:val="24"/>
          <w:szCs w:val="24"/>
        </w:rPr>
        <w:t>their toes</w:t>
      </w:r>
      <w:r w:rsidR="002C67E3">
        <w:rPr>
          <w:rFonts w:ascii="Times New Roman" w:hAnsi="Times New Roman" w:cs="Times New Roman"/>
          <w:sz w:val="24"/>
          <w:szCs w:val="24"/>
        </w:rPr>
        <w:t xml:space="preserve"> (Mellon, n. d)</w:t>
      </w:r>
      <w:r>
        <w:rPr>
          <w:rFonts w:ascii="Times New Roman" w:hAnsi="Times New Roman" w:cs="Times New Roman"/>
          <w:sz w:val="24"/>
          <w:szCs w:val="24"/>
        </w:rPr>
        <w:t xml:space="preserve">. </w:t>
      </w:r>
      <w:r w:rsidR="002C67E3">
        <w:rPr>
          <w:rFonts w:ascii="Times New Roman" w:hAnsi="Times New Roman" w:cs="Times New Roman"/>
          <w:sz w:val="24"/>
          <w:szCs w:val="24"/>
        </w:rPr>
        <w:t xml:space="preserve">SARA also requires companies to report biennially on their waste management performance of waste chemicals. The Act aligns with the Pollution Prevention Act that requires that companies should manage their waste effectively to ensure minimal or no emission into the environment. The company will comply with the Act by prescribing to a waste management hierarchy encompass reduction, reuse, recycle, treatment, and disposal. </w:t>
      </w:r>
    </w:p>
    <w:p w:rsidR="00EA3AE5" w:rsidRDefault="00EA3AE5" w:rsidP="00B6293D">
      <w:pPr>
        <w:spacing w:line="480" w:lineRule="auto"/>
        <w:rPr>
          <w:rFonts w:ascii="Times New Roman" w:hAnsi="Times New Roman" w:cs="Times New Roman"/>
          <w:sz w:val="24"/>
          <w:szCs w:val="24"/>
        </w:rPr>
      </w:pPr>
    </w:p>
    <w:p w:rsidR="00EA3AE5" w:rsidRDefault="00EA3AE5" w:rsidP="00B6293D">
      <w:pPr>
        <w:spacing w:line="480" w:lineRule="auto"/>
        <w:rPr>
          <w:rFonts w:ascii="Times New Roman" w:hAnsi="Times New Roman" w:cs="Times New Roman"/>
          <w:sz w:val="24"/>
          <w:szCs w:val="24"/>
        </w:rPr>
      </w:pPr>
    </w:p>
    <w:p w:rsidR="00EA3AE5" w:rsidRDefault="00EA3AE5" w:rsidP="00B6293D">
      <w:pPr>
        <w:spacing w:line="480" w:lineRule="auto"/>
        <w:rPr>
          <w:rFonts w:ascii="Times New Roman" w:hAnsi="Times New Roman" w:cs="Times New Roman"/>
          <w:sz w:val="24"/>
          <w:szCs w:val="24"/>
        </w:rPr>
      </w:pPr>
    </w:p>
    <w:p w:rsidR="00EA3AE5" w:rsidRDefault="00EA3AE5" w:rsidP="00B6293D">
      <w:pPr>
        <w:spacing w:line="480" w:lineRule="auto"/>
        <w:rPr>
          <w:rFonts w:ascii="Times New Roman" w:hAnsi="Times New Roman" w:cs="Times New Roman"/>
          <w:sz w:val="24"/>
          <w:szCs w:val="24"/>
        </w:rPr>
      </w:pPr>
    </w:p>
    <w:p w:rsidR="00EA3AE5" w:rsidRDefault="00EA3AE5" w:rsidP="00B6293D">
      <w:pPr>
        <w:spacing w:line="480" w:lineRule="auto"/>
        <w:rPr>
          <w:rFonts w:ascii="Times New Roman" w:hAnsi="Times New Roman" w:cs="Times New Roman"/>
          <w:sz w:val="24"/>
          <w:szCs w:val="24"/>
        </w:rPr>
      </w:pPr>
    </w:p>
    <w:p w:rsidR="00EA3AE5" w:rsidRDefault="00EA3AE5" w:rsidP="00B6293D">
      <w:pPr>
        <w:spacing w:line="480" w:lineRule="auto"/>
        <w:rPr>
          <w:rFonts w:ascii="Times New Roman" w:hAnsi="Times New Roman" w:cs="Times New Roman"/>
          <w:sz w:val="24"/>
          <w:szCs w:val="24"/>
        </w:rPr>
      </w:pPr>
    </w:p>
    <w:p w:rsidR="00EA3AE5" w:rsidRDefault="00EA3AE5" w:rsidP="00B6293D">
      <w:pPr>
        <w:spacing w:line="480" w:lineRule="auto"/>
        <w:rPr>
          <w:rFonts w:ascii="Times New Roman" w:hAnsi="Times New Roman" w:cs="Times New Roman"/>
          <w:sz w:val="24"/>
          <w:szCs w:val="24"/>
        </w:rPr>
      </w:pPr>
    </w:p>
    <w:p w:rsidR="00EA3AE5" w:rsidRDefault="00AC0A08" w:rsidP="00EA3A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21A3C" w:rsidRDefault="00AC0A08" w:rsidP="00821A3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Ballotpedia.org. (n. d).</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Endangered species in Ohio.</w:t>
      </w:r>
      <w:proofErr w:type="gramEnd"/>
      <w:r>
        <w:rPr>
          <w:rFonts w:ascii="Times New Roman" w:hAnsi="Times New Roman" w:cs="Times New Roman"/>
          <w:sz w:val="24"/>
          <w:szCs w:val="24"/>
        </w:rPr>
        <w:t xml:space="preserve"> Retr</w:t>
      </w:r>
      <w:r>
        <w:rPr>
          <w:rFonts w:ascii="Times New Roman" w:hAnsi="Times New Roman" w:cs="Times New Roman"/>
          <w:sz w:val="24"/>
          <w:szCs w:val="24"/>
        </w:rPr>
        <w:t>ieved from</w:t>
      </w:r>
    </w:p>
    <w:p w:rsidR="00821A3C" w:rsidRPr="00821A3C" w:rsidRDefault="00AC0A08" w:rsidP="00821A3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821A3C">
          <w:rPr>
            <w:rStyle w:val="Hyperlink"/>
            <w:rFonts w:ascii="Times New Roman" w:hAnsi="Times New Roman" w:cs="Times New Roman"/>
            <w:sz w:val="24"/>
            <w:szCs w:val="24"/>
          </w:rPr>
          <w:t>https://ballotpedia.org/Endangered_species_in_Ohio</w:t>
        </w:r>
      </w:hyperlink>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Bischoff, L. A. (2018). Ohio House passes bill blocking cities from imposing plastic bag fees.</w:t>
      </w:r>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Dayton Daily News.</w:t>
      </w:r>
      <w:proofErr w:type="gramEnd"/>
      <w:r>
        <w:rPr>
          <w:rFonts w:ascii="Times New Roman" w:hAnsi="Times New Roman" w:cs="Times New Roman"/>
          <w:sz w:val="24"/>
          <w:szCs w:val="24"/>
        </w:rPr>
        <w:t xml:space="preserve"> Retrieved f</w:t>
      </w:r>
      <w:r>
        <w:rPr>
          <w:rFonts w:ascii="Times New Roman" w:hAnsi="Times New Roman" w:cs="Times New Roman"/>
          <w:sz w:val="24"/>
          <w:szCs w:val="24"/>
        </w:rPr>
        <w:t>rom</w:t>
      </w:r>
    </w:p>
    <w:p w:rsidR="007E79FF" w:rsidRDefault="00AC0A08" w:rsidP="007E79FF">
      <w:pPr>
        <w:spacing w:line="480" w:lineRule="auto"/>
        <w:ind w:left="720"/>
        <w:rPr>
          <w:rFonts w:ascii="Times New Roman" w:hAnsi="Times New Roman" w:cs="Times New Roman"/>
          <w:sz w:val="24"/>
          <w:szCs w:val="24"/>
        </w:rPr>
      </w:pPr>
      <w:hyperlink r:id="rId8" w:history="1">
        <w:r w:rsidRPr="007E79FF">
          <w:rPr>
            <w:rStyle w:val="Hyperlink"/>
            <w:rFonts w:ascii="Times New Roman" w:hAnsi="Times New Roman" w:cs="Times New Roman"/>
            <w:sz w:val="24"/>
            <w:szCs w:val="24"/>
          </w:rPr>
          <w:t>https://www.daytondailynews.com/news/ohio-house-passes-bill-blocking-cities-from-imposing-plastic-bag-fee</w:t>
        </w:r>
        <w:r w:rsidRPr="007E79FF">
          <w:rPr>
            <w:rStyle w:val="Hyperlink"/>
            <w:rFonts w:ascii="Times New Roman" w:hAnsi="Times New Roman" w:cs="Times New Roman"/>
            <w:sz w:val="24"/>
            <w:szCs w:val="24"/>
          </w:rPr>
          <w:t>s/0AXbjyrMPON5JJPD2u7KlO/</w:t>
        </w:r>
      </w:hyperlink>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 xml:space="preserve">Mellon, C. (n. d). </w:t>
      </w:r>
      <w:proofErr w:type="gramStart"/>
      <w:r>
        <w:rPr>
          <w:rFonts w:ascii="Times New Roman" w:hAnsi="Times New Roman" w:cs="Times New Roman"/>
          <w:sz w:val="24"/>
          <w:szCs w:val="24"/>
        </w:rPr>
        <w:t>Environmental decision making, scien</w:t>
      </w:r>
      <w:r w:rsidR="00821A3C">
        <w:rPr>
          <w:rFonts w:ascii="Times New Roman" w:hAnsi="Times New Roman" w:cs="Times New Roman"/>
          <w:sz w:val="24"/>
          <w:szCs w:val="24"/>
        </w:rPr>
        <w:t>ce, and technology.</w:t>
      </w:r>
      <w:proofErr w:type="gramEnd"/>
      <w:r w:rsidR="00821A3C">
        <w:rPr>
          <w:rFonts w:ascii="Times New Roman" w:hAnsi="Times New Roman" w:cs="Times New Roman"/>
          <w:sz w:val="24"/>
          <w:szCs w:val="24"/>
        </w:rPr>
        <w:t xml:space="preserve"> Main US </w:t>
      </w:r>
    </w:p>
    <w:p w:rsidR="00821A3C"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environmental</w:t>
      </w:r>
      <w:proofErr w:type="gramEnd"/>
      <w:r>
        <w:rPr>
          <w:rFonts w:ascii="Times New Roman" w:hAnsi="Times New Roman" w:cs="Times New Roman"/>
          <w:sz w:val="24"/>
          <w:szCs w:val="24"/>
        </w:rPr>
        <w:t xml:space="preserve"> laws. Retrieved from</w:t>
      </w:r>
    </w:p>
    <w:p w:rsidR="00821A3C" w:rsidRPr="00821A3C"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821A3C">
          <w:rPr>
            <w:rStyle w:val="Hyperlink"/>
            <w:rFonts w:ascii="Times New Roman" w:hAnsi="Times New Roman" w:cs="Times New Roman"/>
            <w:sz w:val="24"/>
            <w:szCs w:val="24"/>
          </w:rPr>
          <w:t>http://environ.andrew.cmu.edu/m3/s7/us_laws.shtml</w:t>
        </w:r>
      </w:hyperlink>
    </w:p>
    <w:p w:rsidR="007E79FF" w:rsidRDefault="00AC0A08" w:rsidP="007E79FF">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MSDS Online.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(2007). SARA Title III Reporting.</w:t>
      </w:r>
      <w:proofErr w:type="gramEnd"/>
      <w:r>
        <w:rPr>
          <w:rFonts w:ascii="Times New Roman" w:hAnsi="Times New Roman" w:cs="Times New Roman"/>
          <w:sz w:val="24"/>
          <w:szCs w:val="24"/>
        </w:rPr>
        <w:t xml:space="preserve"> Retrieved from</w:t>
      </w:r>
    </w:p>
    <w:p w:rsidR="00821A3C"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0A540B">
          <w:rPr>
            <w:rStyle w:val="Hyperlink"/>
            <w:rFonts w:ascii="Times New Roman" w:hAnsi="Times New Roman" w:cs="Times New Roman"/>
            <w:sz w:val="24"/>
            <w:szCs w:val="24"/>
          </w:rPr>
          <w:t>https://www.msdsonline.com/resources/regulatory-inf</w:t>
        </w:r>
        <w:r w:rsidRPr="000A540B">
          <w:rPr>
            <w:rStyle w:val="Hyperlink"/>
            <w:rFonts w:ascii="Times New Roman" w:hAnsi="Times New Roman" w:cs="Times New Roman"/>
            <w:sz w:val="24"/>
            <w:szCs w:val="24"/>
          </w:rPr>
          <w:t>ormation/sara-reporting/</w:t>
        </w:r>
      </w:hyperlink>
    </w:p>
    <w:p w:rsidR="00821A3C" w:rsidRDefault="00AC0A08" w:rsidP="007E79FF">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Ohio Environmental Protection Agency.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d). Division of air pollution control rules and</w:t>
      </w:r>
    </w:p>
    <w:p w:rsidR="00821A3C"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laws</w:t>
      </w:r>
      <w:proofErr w:type="gramEnd"/>
      <w:r>
        <w:rPr>
          <w:rFonts w:ascii="Times New Roman" w:hAnsi="Times New Roman" w:cs="Times New Roman"/>
          <w:sz w:val="24"/>
          <w:szCs w:val="24"/>
        </w:rPr>
        <w:t>. Retrieved from</w:t>
      </w:r>
    </w:p>
    <w:p w:rsidR="00821A3C" w:rsidRPr="00821A3C"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821A3C">
          <w:rPr>
            <w:rStyle w:val="Hyperlink"/>
            <w:rFonts w:ascii="Times New Roman" w:hAnsi="Times New Roman" w:cs="Times New Roman"/>
            <w:sz w:val="24"/>
            <w:szCs w:val="24"/>
          </w:rPr>
          <w:t>https://www.epa.ohio.gov/dapc/DAPCrules</w:t>
        </w:r>
      </w:hyperlink>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United States Environm</w:t>
      </w:r>
      <w:r>
        <w:rPr>
          <w:rFonts w:ascii="Times New Roman" w:hAnsi="Times New Roman" w:cs="Times New Roman"/>
          <w:sz w:val="24"/>
          <w:szCs w:val="24"/>
        </w:rPr>
        <w:t xml:space="preserve">ental Protection Agency. (2015). List of Lists: Consolidated list of </w:t>
      </w:r>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chemicals</w:t>
      </w:r>
      <w:proofErr w:type="gramEnd"/>
      <w:r>
        <w:rPr>
          <w:rFonts w:ascii="Times New Roman" w:hAnsi="Times New Roman" w:cs="Times New Roman"/>
          <w:sz w:val="24"/>
          <w:szCs w:val="24"/>
        </w:rPr>
        <w:t xml:space="preserve"> subject to the Emergency Planning and Community Right-to-Know Act</w:t>
      </w:r>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t>(ECPRA), Comprehensive Environmental Response, Compensation and Liability Act,</w:t>
      </w:r>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Compensation and Liability </w:t>
      </w:r>
      <w:r>
        <w:rPr>
          <w:rFonts w:ascii="Times New Roman" w:hAnsi="Times New Roman" w:cs="Times New Roman"/>
          <w:sz w:val="24"/>
          <w:szCs w:val="24"/>
        </w:rPr>
        <w:t>Act (CERCLA) and Section 112® of the Clean Air Act.</w:t>
      </w:r>
    </w:p>
    <w:p w:rsidR="007E79FF" w:rsidRDefault="00AC0A08" w:rsidP="007E79FF">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1-125.</w:t>
      </w:r>
      <w:proofErr w:type="gramEnd"/>
    </w:p>
    <w:p w:rsidR="00EA3AE5" w:rsidRDefault="00AC0A08" w:rsidP="00EA3AE5">
      <w:pPr>
        <w:spacing w:line="480" w:lineRule="auto"/>
        <w:rPr>
          <w:rFonts w:ascii="Times New Roman" w:hAnsi="Times New Roman" w:cs="Times New Roman"/>
          <w:sz w:val="24"/>
          <w:szCs w:val="24"/>
        </w:rPr>
      </w:pPr>
      <w:r>
        <w:rPr>
          <w:rFonts w:ascii="Times New Roman" w:hAnsi="Times New Roman" w:cs="Times New Roman"/>
          <w:sz w:val="24"/>
          <w:szCs w:val="24"/>
        </w:rPr>
        <w:tab/>
      </w:r>
    </w:p>
    <w:p w:rsidR="002C67E3" w:rsidRDefault="002C67E3" w:rsidP="00B6293D">
      <w:pPr>
        <w:spacing w:line="480" w:lineRule="auto"/>
        <w:rPr>
          <w:rFonts w:ascii="Times New Roman" w:hAnsi="Times New Roman" w:cs="Times New Roman"/>
          <w:sz w:val="24"/>
          <w:szCs w:val="24"/>
        </w:rPr>
      </w:pPr>
    </w:p>
    <w:p w:rsidR="00CB26CD" w:rsidRDefault="00AC0A08" w:rsidP="00BE2F2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31ED4" w:rsidRPr="00A31ED4" w:rsidRDefault="00AC0A08" w:rsidP="00434172">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A31ED4" w:rsidRPr="00A31ED4" w:rsidSect="00A31ED4">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A08" w:rsidRDefault="00AC0A08">
      <w:pPr>
        <w:spacing w:after="0" w:line="240" w:lineRule="auto"/>
      </w:pPr>
      <w:r>
        <w:separator/>
      </w:r>
    </w:p>
  </w:endnote>
  <w:endnote w:type="continuationSeparator" w:id="0">
    <w:p w:rsidR="00AC0A08" w:rsidRDefault="00AC0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A08" w:rsidRDefault="00AC0A08">
      <w:pPr>
        <w:spacing w:after="0" w:line="240" w:lineRule="auto"/>
      </w:pPr>
      <w:r>
        <w:separator/>
      </w:r>
    </w:p>
  </w:footnote>
  <w:footnote w:type="continuationSeparator" w:id="0">
    <w:p w:rsidR="00AC0A08" w:rsidRDefault="00AC0A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ED4" w:rsidRPr="00A31ED4" w:rsidRDefault="00AC0A08" w:rsidP="00A31ED4">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31ED4">
      <w:rPr>
        <w:rFonts w:ascii="Times New Roman" w:hAnsi="Times New Roman" w:cs="Times New Roman"/>
        <w:sz w:val="24"/>
        <w:szCs w:val="24"/>
      </w:rPr>
      <w:t>HEALTH SAFETY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31ED4">
      <w:rPr>
        <w:rFonts w:ascii="Times New Roman" w:hAnsi="Times New Roman" w:cs="Times New Roman"/>
        <w:sz w:val="24"/>
        <w:szCs w:val="24"/>
      </w:rPr>
      <w:t xml:space="preserve"> </w:t>
    </w:r>
    <w:sdt>
      <w:sdtPr>
        <w:rPr>
          <w:rFonts w:ascii="Times New Roman" w:hAnsi="Times New Roman" w:cs="Times New Roman"/>
          <w:sz w:val="24"/>
          <w:szCs w:val="24"/>
        </w:rPr>
        <w:id w:val="1002247602"/>
        <w:docPartObj>
          <w:docPartGallery w:val="Page Numbers (Top of Page)"/>
          <w:docPartUnique/>
        </w:docPartObj>
      </w:sdtPr>
      <w:sdtEndPr>
        <w:rPr>
          <w:noProof/>
        </w:rPr>
      </w:sdtEndPr>
      <w:sdtContent>
        <w:r w:rsidRPr="00A31ED4">
          <w:rPr>
            <w:rFonts w:ascii="Times New Roman" w:hAnsi="Times New Roman" w:cs="Times New Roman"/>
            <w:sz w:val="24"/>
            <w:szCs w:val="24"/>
          </w:rPr>
          <w:fldChar w:fldCharType="begin"/>
        </w:r>
        <w:r w:rsidRPr="00A31ED4">
          <w:rPr>
            <w:rFonts w:ascii="Times New Roman" w:hAnsi="Times New Roman" w:cs="Times New Roman"/>
            <w:sz w:val="24"/>
            <w:szCs w:val="24"/>
          </w:rPr>
          <w:instrText xml:space="preserve"> PAGE   \* MERGEFORMAT </w:instrText>
        </w:r>
        <w:r w:rsidRPr="00A31ED4">
          <w:rPr>
            <w:rFonts w:ascii="Times New Roman" w:hAnsi="Times New Roman" w:cs="Times New Roman"/>
            <w:sz w:val="24"/>
            <w:szCs w:val="24"/>
          </w:rPr>
          <w:fldChar w:fldCharType="separate"/>
        </w:r>
        <w:r w:rsidR="00536D16">
          <w:rPr>
            <w:rFonts w:ascii="Times New Roman" w:hAnsi="Times New Roman" w:cs="Times New Roman"/>
            <w:noProof/>
            <w:sz w:val="24"/>
            <w:szCs w:val="24"/>
          </w:rPr>
          <w:t>1</w:t>
        </w:r>
        <w:r w:rsidRPr="00A31ED4">
          <w:rPr>
            <w:rFonts w:ascii="Times New Roman" w:hAnsi="Times New Roman" w:cs="Times New Roman"/>
            <w:noProof/>
            <w:sz w:val="24"/>
            <w:szCs w:val="24"/>
          </w:rPr>
          <w:fldChar w:fldCharType="end"/>
        </w:r>
      </w:sdtContent>
    </w:sdt>
  </w:p>
  <w:p w:rsidR="00A31ED4" w:rsidRPr="00A31ED4" w:rsidRDefault="00A31ED4" w:rsidP="00A31ED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ED4"/>
    <w:rsid w:val="000A540B"/>
    <w:rsid w:val="001D2666"/>
    <w:rsid w:val="002C67E3"/>
    <w:rsid w:val="00323FCB"/>
    <w:rsid w:val="00342F73"/>
    <w:rsid w:val="003A7D44"/>
    <w:rsid w:val="00434172"/>
    <w:rsid w:val="004B278E"/>
    <w:rsid w:val="00536D16"/>
    <w:rsid w:val="007319D4"/>
    <w:rsid w:val="007E79FF"/>
    <w:rsid w:val="0080412D"/>
    <w:rsid w:val="00821A3C"/>
    <w:rsid w:val="0082562F"/>
    <w:rsid w:val="008439BA"/>
    <w:rsid w:val="009B27F7"/>
    <w:rsid w:val="00A31ED4"/>
    <w:rsid w:val="00A354DE"/>
    <w:rsid w:val="00AC0A08"/>
    <w:rsid w:val="00B5001C"/>
    <w:rsid w:val="00B6293D"/>
    <w:rsid w:val="00BD4F4E"/>
    <w:rsid w:val="00BE2F24"/>
    <w:rsid w:val="00C3719F"/>
    <w:rsid w:val="00CB26CD"/>
    <w:rsid w:val="00CC41D4"/>
    <w:rsid w:val="00D214B9"/>
    <w:rsid w:val="00E060EA"/>
    <w:rsid w:val="00E37502"/>
    <w:rsid w:val="00E43474"/>
    <w:rsid w:val="00EA3AE5"/>
    <w:rsid w:val="00FD4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ED4"/>
  </w:style>
  <w:style w:type="paragraph" w:styleId="Footer">
    <w:name w:val="footer"/>
    <w:basedOn w:val="Normal"/>
    <w:link w:val="FooterChar"/>
    <w:uiPriority w:val="99"/>
    <w:unhideWhenUsed/>
    <w:rsid w:val="00A31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ED4"/>
  </w:style>
  <w:style w:type="character" w:styleId="Hyperlink">
    <w:name w:val="Hyperlink"/>
    <w:basedOn w:val="DefaultParagraphFont"/>
    <w:uiPriority w:val="99"/>
    <w:unhideWhenUsed/>
    <w:rsid w:val="007E79F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ED4"/>
  </w:style>
  <w:style w:type="paragraph" w:styleId="Footer">
    <w:name w:val="footer"/>
    <w:basedOn w:val="Normal"/>
    <w:link w:val="FooterChar"/>
    <w:uiPriority w:val="99"/>
    <w:unhideWhenUsed/>
    <w:rsid w:val="00A31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ED4"/>
  </w:style>
  <w:style w:type="character" w:styleId="Hyperlink">
    <w:name w:val="Hyperlink"/>
    <w:basedOn w:val="DefaultParagraphFont"/>
    <w:uiPriority w:val="99"/>
    <w:unhideWhenUsed/>
    <w:rsid w:val="007E79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ytondailynews.com/news/ohio-house-passes-bill-blocking-cities-from-imposing-plastic-bag-fees/0AXbjyrMPON5JJPD2u7Kl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llotpedia.org/Endangered_species_in_Ohio"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epa.ohio.gov/dapc/DAPCrules" TargetMode="External"/><Relationship Id="rId5" Type="http://schemas.openxmlformats.org/officeDocument/2006/relationships/footnotes" Target="footnotes.xml"/><Relationship Id="rId10" Type="http://schemas.openxmlformats.org/officeDocument/2006/relationships/hyperlink" Target="https://www.msdsonline.com/resources/regulatory-information/sara-reporting/" TargetMode="External"/><Relationship Id="rId4" Type="http://schemas.openxmlformats.org/officeDocument/2006/relationships/webSettings" Target="webSettings.xml"/><Relationship Id="rId9" Type="http://schemas.openxmlformats.org/officeDocument/2006/relationships/hyperlink" Target="http://environ.andrew.cmu.edu/m3/s7/us_laws.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8</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2019-04-13T12:21:00Z</dcterms:created>
  <dcterms:modified xsi:type="dcterms:W3CDTF">2019-04-13T20:30:00Z</dcterms:modified>
</cp:coreProperties>
</file>